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D2E25" w:rsidP="00BD2E25">
      <w:pPr>
        <w:pStyle w:val="NormalWeb"/>
        <w:spacing w:before="0" w:beforeAutospacing="0" w:after="0" w:afterAutospacing="0"/>
        <w:ind w:left="57" w:right="57"/>
        <w:jc w:val="right"/>
        <w:rPr>
          <w:sz w:val="28"/>
          <w:szCs w:val="28"/>
        </w:rPr>
      </w:pPr>
      <w:r>
        <w:rPr>
          <w:sz w:val="28"/>
          <w:szCs w:val="28"/>
        </w:rPr>
        <w:t>дело № 2-1833-1703/2026</w:t>
      </w:r>
    </w:p>
    <w:p w:rsidR="00BD2E25" w:rsidP="00BD2E25">
      <w:pPr>
        <w:pStyle w:val="NormalWeb"/>
        <w:spacing w:before="0" w:beforeAutospacing="0" w:after="0" w:afterAutospacing="0"/>
        <w:ind w:left="57" w:right="57"/>
        <w:jc w:val="right"/>
        <w:rPr>
          <w:sz w:val="28"/>
          <w:szCs w:val="28"/>
        </w:rPr>
      </w:pPr>
      <w:r>
        <w:rPr>
          <w:sz w:val="28"/>
          <w:szCs w:val="28"/>
        </w:rPr>
        <w:t>86</w:t>
      </w:r>
      <w:r>
        <w:rPr>
          <w:sz w:val="28"/>
          <w:szCs w:val="28"/>
          <w:lang w:val="en-US"/>
        </w:rPr>
        <w:t>ms</w:t>
      </w:r>
      <w:r>
        <w:rPr>
          <w:sz w:val="28"/>
          <w:szCs w:val="28"/>
        </w:rPr>
        <w:t>0034-01-2026-002485-81</w:t>
      </w:r>
    </w:p>
    <w:p w:rsidR="00BD2E25" w:rsidP="00BD2E25">
      <w:pPr>
        <w:pStyle w:val="NormalWeb"/>
        <w:spacing w:before="0" w:beforeAutospacing="0" w:after="0" w:afterAutospacing="0"/>
        <w:ind w:left="57" w:right="57"/>
        <w:jc w:val="right"/>
        <w:rPr>
          <w:sz w:val="28"/>
          <w:szCs w:val="28"/>
        </w:rPr>
      </w:pPr>
    </w:p>
    <w:p w:rsidR="00BD2E25" w:rsidP="00BD2E25">
      <w:pPr>
        <w:pStyle w:val="NormalWeb"/>
        <w:spacing w:before="0" w:beforeAutospacing="0" w:after="0" w:afterAutospacing="0"/>
        <w:ind w:left="57" w:right="57" w:firstLine="720"/>
        <w:jc w:val="center"/>
        <w:rPr>
          <w:sz w:val="28"/>
          <w:szCs w:val="28"/>
        </w:rPr>
      </w:pPr>
      <w:r>
        <w:rPr>
          <w:sz w:val="28"/>
          <w:szCs w:val="28"/>
        </w:rPr>
        <w:t>Р Е Ш Е Н И Е</w:t>
      </w:r>
    </w:p>
    <w:p w:rsidR="00BD2E25" w:rsidP="00BD2E25">
      <w:pPr>
        <w:pStyle w:val="NormalWeb"/>
        <w:spacing w:before="0" w:beforeAutospacing="0" w:after="0" w:afterAutospacing="0"/>
        <w:ind w:left="57" w:right="57" w:firstLine="720"/>
        <w:jc w:val="center"/>
        <w:rPr>
          <w:sz w:val="28"/>
          <w:szCs w:val="28"/>
        </w:rPr>
      </w:pPr>
      <w:r>
        <w:rPr>
          <w:sz w:val="28"/>
          <w:szCs w:val="28"/>
        </w:rPr>
        <w:t>Именем Российской Федерации</w:t>
      </w:r>
    </w:p>
    <w:p w:rsidR="00BD2E25" w:rsidP="00BD2E25">
      <w:pPr>
        <w:pStyle w:val="NormalWeb"/>
        <w:spacing w:before="0" w:beforeAutospacing="0" w:after="0" w:afterAutospacing="0"/>
        <w:ind w:left="57" w:right="57" w:firstLine="72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Резолютивная часть </w:t>
      </w:r>
    </w:p>
    <w:p w:rsidR="00BD2E25" w:rsidP="00BD2E25">
      <w:pPr>
        <w:pStyle w:val="NormalWeb"/>
        <w:spacing w:before="0" w:beforeAutospacing="0" w:after="0" w:afterAutospacing="0"/>
        <w:ind w:left="57" w:right="57"/>
        <w:jc w:val="both"/>
        <w:rPr>
          <w:sz w:val="28"/>
          <w:szCs w:val="28"/>
        </w:rPr>
      </w:pPr>
      <w:r>
        <w:rPr>
          <w:sz w:val="28"/>
          <w:szCs w:val="28"/>
        </w:rPr>
        <w:t>«03» сентября 2026 года                                                             город Когалым</w:t>
      </w:r>
    </w:p>
    <w:p w:rsidR="00BD2E25" w:rsidP="00BD2E25">
      <w:pPr>
        <w:pStyle w:val="NormalWeb"/>
        <w:spacing w:before="0" w:beforeAutospacing="0" w:after="0" w:afterAutospacing="0"/>
        <w:ind w:left="57" w:right="57"/>
        <w:jc w:val="both"/>
        <w:rPr>
          <w:sz w:val="28"/>
          <w:szCs w:val="28"/>
        </w:rPr>
      </w:pPr>
    </w:p>
    <w:p w:rsidR="00BD2E25" w:rsidP="00BD2E25">
      <w:pPr>
        <w:pStyle w:val="NormalWeb"/>
        <w:spacing w:before="0" w:beforeAutospacing="0" w:after="0" w:afterAutospacing="0"/>
        <w:ind w:left="57" w:right="57" w:firstLine="720"/>
        <w:jc w:val="both"/>
        <w:rPr>
          <w:sz w:val="28"/>
          <w:szCs w:val="28"/>
        </w:rPr>
      </w:pPr>
      <w:r>
        <w:rPr>
          <w:sz w:val="28"/>
          <w:szCs w:val="28"/>
        </w:rPr>
        <w:t>Мировой  судья</w:t>
      </w:r>
      <w:r>
        <w:rPr>
          <w:sz w:val="28"/>
          <w:szCs w:val="28"/>
        </w:rPr>
        <w:t xml:space="preserve">  судебного  участка  №  3 Когалымского    судебного района  Ханты-Мансийского автономного округа – Югры Филяева  Е.М.,</w:t>
      </w:r>
    </w:p>
    <w:p w:rsidR="00BD2E25" w:rsidP="00BD2E25">
      <w:pPr>
        <w:pStyle w:val="NormalWeb"/>
        <w:spacing w:before="0" w:beforeAutospacing="0" w:after="0" w:afterAutospacing="0"/>
        <w:ind w:left="57" w:right="57"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при секретаре Макаровой Е.А.,</w:t>
      </w:r>
    </w:p>
    <w:p w:rsidR="00BD2E25" w:rsidP="00BD2E25">
      <w:pPr>
        <w:pStyle w:val="NormalWeb"/>
        <w:spacing w:before="0" w:beforeAutospacing="0" w:after="0" w:afterAutospacing="0"/>
        <w:ind w:left="57" w:right="57" w:firstLine="720"/>
        <w:jc w:val="both"/>
        <w:rPr>
          <w:sz w:val="28"/>
          <w:szCs w:val="28"/>
        </w:rPr>
      </w:pPr>
      <w:r>
        <w:rPr>
          <w:sz w:val="28"/>
          <w:szCs w:val="28"/>
        </w:rPr>
        <w:t>с  участием</w:t>
      </w:r>
      <w:r>
        <w:rPr>
          <w:sz w:val="28"/>
          <w:szCs w:val="28"/>
        </w:rPr>
        <w:t xml:space="preserve"> ответчика Кузнецова А.В.,</w:t>
      </w:r>
    </w:p>
    <w:p w:rsidR="00BD2E25" w:rsidP="00BD2E25">
      <w:pPr>
        <w:pStyle w:val="NormalWeb"/>
        <w:spacing w:before="0" w:beforeAutospacing="0" w:after="0" w:afterAutospacing="0"/>
        <w:ind w:left="57" w:right="57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рассмотрев в открытом судебном заседании гражданское дело № 2-1833-1703/2026 по исковому заявлению </w:t>
      </w:r>
      <w:r>
        <w:rPr>
          <w:sz w:val="28"/>
          <w:szCs w:val="28"/>
        </w:rPr>
        <w:t>Общества  с</w:t>
      </w:r>
      <w:r>
        <w:rPr>
          <w:sz w:val="28"/>
          <w:szCs w:val="28"/>
        </w:rPr>
        <w:t xml:space="preserve"> ограниченной ответственностью </w:t>
      </w:r>
      <w:r>
        <w:rPr>
          <w:sz w:val="28"/>
          <w:szCs w:val="28"/>
        </w:rPr>
        <w:t>Микрокредитная</w:t>
      </w:r>
      <w:r>
        <w:rPr>
          <w:sz w:val="28"/>
          <w:szCs w:val="28"/>
        </w:rPr>
        <w:t xml:space="preserve"> компания «А Деньги»  к  Кузнецову Алексею  Викторовичу  о взыскании задолженности по  договору займа, судебных  расходов </w:t>
      </w:r>
    </w:p>
    <w:p w:rsidR="00BD2E25" w:rsidP="00BD2E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Руководствуясь ст. ст. 56, 167, 194-198, 199, Гражданского процессуального кодекса Российской Федерации, суд</w:t>
      </w:r>
    </w:p>
    <w:p w:rsidR="00BD2E25" w:rsidP="00BD2E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D2E25" w:rsidP="00BD2E25">
      <w:pPr>
        <w:pStyle w:val="s1"/>
        <w:spacing w:before="0" w:beforeAutospacing="0" w:after="0" w:afterAutospacing="0"/>
        <w:ind w:left="57" w:right="57" w:firstLine="651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РЕШИЛ:</w:t>
      </w:r>
    </w:p>
    <w:p w:rsidR="00BD2E25" w:rsidP="00BD2E25">
      <w:pPr>
        <w:pStyle w:val="s1"/>
        <w:spacing w:before="0" w:beforeAutospacing="0" w:after="0" w:afterAutospacing="0"/>
        <w:ind w:left="57" w:right="57" w:firstLine="651"/>
        <w:jc w:val="both"/>
        <w:rPr>
          <w:sz w:val="28"/>
          <w:szCs w:val="28"/>
        </w:rPr>
      </w:pPr>
    </w:p>
    <w:p w:rsidR="00BD2E25" w:rsidP="00BD2E25">
      <w:pPr>
        <w:pStyle w:val="s1"/>
        <w:spacing w:before="0" w:beforeAutospacing="0" w:after="0" w:afterAutospacing="0"/>
        <w:ind w:left="57" w:right="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 xml:space="preserve">Исковые </w:t>
      </w:r>
      <w:r>
        <w:rPr>
          <w:sz w:val="28"/>
          <w:szCs w:val="28"/>
        </w:rPr>
        <w:t>требования  Общества</w:t>
      </w:r>
      <w:r>
        <w:rPr>
          <w:sz w:val="28"/>
          <w:szCs w:val="28"/>
        </w:rPr>
        <w:t xml:space="preserve">  с ограниченной ответственностью </w:t>
      </w:r>
      <w:r>
        <w:rPr>
          <w:sz w:val="28"/>
          <w:szCs w:val="28"/>
        </w:rPr>
        <w:t>Микрокредитная</w:t>
      </w:r>
      <w:r>
        <w:rPr>
          <w:sz w:val="28"/>
          <w:szCs w:val="28"/>
        </w:rPr>
        <w:t xml:space="preserve"> компания «А Деньги»   к Кузнецову Алексею  Викторовичу о  взыскании   задолженности  по   договору займа, судебных  расходов,  удовлетворить.</w:t>
      </w:r>
    </w:p>
    <w:p w:rsidR="00BD2E25" w:rsidP="00BD2E25">
      <w:pPr>
        <w:pStyle w:val="s1"/>
        <w:spacing w:before="0" w:beforeAutospacing="0" w:after="0" w:afterAutospacing="0"/>
        <w:ind w:left="57" w:right="-1" w:firstLine="6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Взыскать с Кузнецова Алексея  Викторовича, </w:t>
      </w:r>
      <w:r w:rsidR="00316A01">
        <w:rPr>
          <w:sz w:val="28"/>
          <w:szCs w:val="28"/>
        </w:rPr>
        <w:t>*</w:t>
      </w:r>
      <w:r>
        <w:rPr>
          <w:sz w:val="28"/>
          <w:szCs w:val="28"/>
        </w:rPr>
        <w:t xml:space="preserve">  в пользу  Общества  с ограниченной ответственностью </w:t>
      </w:r>
      <w:r>
        <w:rPr>
          <w:sz w:val="28"/>
          <w:szCs w:val="28"/>
        </w:rPr>
        <w:t>Микрокредитная</w:t>
      </w:r>
      <w:r>
        <w:rPr>
          <w:sz w:val="28"/>
          <w:szCs w:val="28"/>
        </w:rPr>
        <w:t xml:space="preserve"> компания «А Деньги»  (ИНН 7708400979 ОГРН 1217700636944) задолженность по договору займа   от 04.10.2025 № 38273897   в размере 23000 (двадцать три тысячи) рублей  00 копеек, в том  числе  задолженность  по основному долгу  в размере 10000,00 рублей,   задолженность  по  процентам   за  пользование займом   в размере 12327,19 рублей,  задолженность  по  неустойке  в размере 672,81 рубль,    а также расходы по оплате государственной пошлины в размере 4000,00  рублей. </w:t>
      </w:r>
    </w:p>
    <w:p w:rsidR="00BD2E25" w:rsidP="00BD2E2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Разъяснить лицам, участвующим в деле, их представителям право подать заявление о составление мотивированного </w:t>
      </w:r>
      <w:r>
        <w:rPr>
          <w:rFonts w:ascii="Times New Roman" w:hAnsi="Times New Roman" w:cs="Times New Roman"/>
          <w:color w:val="000000"/>
          <w:sz w:val="28"/>
          <w:szCs w:val="28"/>
        </w:rPr>
        <w:t>решения  суда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 следующие сроки:</w:t>
      </w:r>
    </w:p>
    <w:p w:rsidR="00BD2E25" w:rsidP="00BD2E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в течение трех дней </w:t>
      </w:r>
      <w:r>
        <w:rPr>
          <w:rFonts w:ascii="Times New Roman" w:hAnsi="Times New Roman" w:cs="Times New Roman"/>
          <w:sz w:val="28"/>
          <w:szCs w:val="28"/>
        </w:rPr>
        <w:t>со дня объявления резолютивной части решения суда, если лица, участвующие в деле, их представители присутствовали в судебном заседании;</w:t>
      </w:r>
    </w:p>
    <w:p w:rsidR="00BD2E25" w:rsidP="00BD2E2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в течение пятнадцати дней со дня объявления резолютивной части решения суда, если лица участвующие в деле, их представители не присутствовали в судебном заседании.</w:t>
      </w:r>
    </w:p>
    <w:p w:rsidR="00BD2E25" w:rsidP="00BD2E25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Мотивированное решение суда составляется в течение десяти дней со дня поступления от лиц, участвующих в деле, их представителей соответствующего заявления.</w:t>
      </w:r>
    </w:p>
    <w:p w:rsidR="00BD2E25" w:rsidP="00BD2E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Решение может быть обжаловано в течение одного месяца в Когалымский городской суд Ханты-Мансийского автономного округа–Югры с подачей апелляционной жалобы </w:t>
      </w:r>
      <w:r>
        <w:rPr>
          <w:rFonts w:ascii="Times New Roman" w:hAnsi="Times New Roman" w:cs="Times New Roman"/>
          <w:sz w:val="28"/>
          <w:szCs w:val="28"/>
        </w:rPr>
        <w:t>через мирового судью</w:t>
      </w:r>
      <w:r>
        <w:rPr>
          <w:rFonts w:ascii="Times New Roman" w:hAnsi="Times New Roman" w:cs="Times New Roman"/>
          <w:sz w:val="28"/>
          <w:szCs w:val="28"/>
        </w:rPr>
        <w:t xml:space="preserve"> судебного участка №3 Когалымского судебного района Ханты-Мансийского автономного округа – Югры.</w:t>
      </w:r>
    </w:p>
    <w:p w:rsidR="00BD2E25" w:rsidP="00BD2E25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BD2E25" w:rsidP="00BD2E25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Мировой судья: подпись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Филяева Е.М.  </w:t>
      </w:r>
    </w:p>
    <w:p w:rsidR="00BD2E25" w:rsidP="00BD2E25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BD2E25" w:rsidP="00BD2E25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BD2E25" w:rsidP="00BD2E25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BD2E25" w:rsidP="00BD2E25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BD2E25" w:rsidP="00BD2E25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BD2E25" w:rsidP="00BD2E25">
      <w:pPr>
        <w:pStyle w:val="NoSpacing"/>
        <w:jc w:val="both"/>
        <w:rPr>
          <w:rFonts w:ascii="Times New Roman" w:hAnsi="Times New Roman" w:cs="Times New Roman"/>
          <w:sz w:val="16"/>
          <w:szCs w:val="16"/>
        </w:rPr>
      </w:pPr>
    </w:p>
    <w:p w:rsidR="00BD2E25" w:rsidP="00BD2E25">
      <w:pPr>
        <w:pStyle w:val="NoSpacing"/>
        <w:jc w:val="both"/>
        <w:rPr>
          <w:rFonts w:ascii="Times New Roman" w:hAnsi="Times New Roman" w:cs="Times New Roman"/>
          <w:sz w:val="16"/>
          <w:szCs w:val="16"/>
        </w:rPr>
      </w:pPr>
    </w:p>
    <w:p w:rsidR="00BD2E25" w:rsidP="00BD2E25">
      <w:pPr>
        <w:pStyle w:val="NoSpacing"/>
        <w:jc w:val="both"/>
        <w:rPr>
          <w:rFonts w:ascii="Times New Roman" w:hAnsi="Times New Roman" w:cs="Times New Roman"/>
          <w:sz w:val="16"/>
          <w:szCs w:val="16"/>
        </w:rPr>
      </w:pPr>
    </w:p>
    <w:p w:rsidR="00BD2E25" w:rsidP="00BD2E25">
      <w:pPr>
        <w:pStyle w:val="NoSpacing"/>
        <w:jc w:val="both"/>
        <w:rPr>
          <w:rFonts w:ascii="Times New Roman" w:hAnsi="Times New Roman" w:cs="Times New Roman"/>
          <w:sz w:val="16"/>
          <w:szCs w:val="16"/>
        </w:rPr>
      </w:pPr>
    </w:p>
    <w:p w:rsidR="00BD2E25" w:rsidP="00BD2E25">
      <w:pPr>
        <w:pStyle w:val="NoSpacing"/>
        <w:jc w:val="both"/>
        <w:rPr>
          <w:rFonts w:ascii="Times New Roman" w:hAnsi="Times New Roman" w:cs="Times New Roman"/>
          <w:sz w:val="16"/>
          <w:szCs w:val="16"/>
        </w:rPr>
      </w:pPr>
    </w:p>
    <w:p w:rsidR="00BD2E25" w:rsidP="00BD2E25">
      <w:pPr>
        <w:pStyle w:val="NoSpacing"/>
        <w:jc w:val="both"/>
        <w:rPr>
          <w:rFonts w:ascii="Times New Roman" w:hAnsi="Times New Roman" w:cs="Times New Roman"/>
          <w:sz w:val="16"/>
          <w:szCs w:val="16"/>
        </w:rPr>
      </w:pPr>
    </w:p>
    <w:p w:rsidR="00BD2E25" w:rsidP="00BD2E25">
      <w:pPr>
        <w:pStyle w:val="NoSpacing"/>
        <w:jc w:val="both"/>
        <w:rPr>
          <w:rFonts w:ascii="Times New Roman" w:hAnsi="Times New Roman" w:cs="Times New Roman"/>
          <w:sz w:val="16"/>
          <w:szCs w:val="16"/>
        </w:rPr>
      </w:pPr>
    </w:p>
    <w:p w:rsidR="00BD2E25" w:rsidP="00BD2E25">
      <w:pPr>
        <w:pStyle w:val="NoSpacing"/>
        <w:jc w:val="both"/>
        <w:rPr>
          <w:rFonts w:ascii="Times New Roman" w:hAnsi="Times New Roman" w:cs="Times New Roman"/>
          <w:sz w:val="16"/>
          <w:szCs w:val="16"/>
        </w:rPr>
      </w:pPr>
    </w:p>
    <w:p w:rsidR="00BD2E25" w:rsidP="00BD2E25">
      <w:pPr>
        <w:pStyle w:val="NoSpacing"/>
        <w:jc w:val="both"/>
        <w:rPr>
          <w:rFonts w:ascii="Times New Roman" w:hAnsi="Times New Roman" w:cs="Times New Roman"/>
          <w:sz w:val="16"/>
          <w:szCs w:val="16"/>
        </w:rPr>
      </w:pPr>
    </w:p>
    <w:p w:rsidR="00BD2E25" w:rsidP="00BD2E25">
      <w:pPr>
        <w:pStyle w:val="NoSpacing"/>
        <w:jc w:val="both"/>
        <w:rPr>
          <w:rFonts w:ascii="Times New Roman" w:hAnsi="Times New Roman" w:cs="Times New Roman"/>
          <w:sz w:val="16"/>
          <w:szCs w:val="16"/>
        </w:rPr>
      </w:pPr>
    </w:p>
    <w:p w:rsidR="00BD2E25" w:rsidP="00BD2E25">
      <w:pPr>
        <w:pStyle w:val="NoSpacing"/>
        <w:jc w:val="both"/>
        <w:rPr>
          <w:rFonts w:ascii="Times New Roman" w:hAnsi="Times New Roman" w:cs="Times New Roman"/>
          <w:sz w:val="16"/>
          <w:szCs w:val="16"/>
        </w:rPr>
      </w:pPr>
    </w:p>
    <w:p w:rsidR="00BD2E25" w:rsidP="00BD2E25">
      <w:pPr>
        <w:pStyle w:val="NoSpacing"/>
        <w:jc w:val="both"/>
        <w:rPr>
          <w:rFonts w:ascii="Times New Roman" w:hAnsi="Times New Roman" w:cs="Times New Roman"/>
          <w:sz w:val="16"/>
          <w:szCs w:val="16"/>
        </w:rPr>
      </w:pPr>
    </w:p>
    <w:p w:rsidR="00BD2E25" w:rsidP="00BD2E25">
      <w:pPr>
        <w:pStyle w:val="NoSpacing"/>
        <w:jc w:val="both"/>
        <w:rPr>
          <w:rFonts w:ascii="Times New Roman" w:hAnsi="Times New Roman" w:cs="Times New Roman"/>
          <w:sz w:val="16"/>
          <w:szCs w:val="16"/>
        </w:rPr>
      </w:pPr>
    </w:p>
    <w:p w:rsidR="00BD2E25" w:rsidP="00BD2E25">
      <w:pPr>
        <w:pStyle w:val="NoSpacing"/>
        <w:jc w:val="both"/>
        <w:rPr>
          <w:rFonts w:ascii="Times New Roman" w:hAnsi="Times New Roman" w:cs="Times New Roman"/>
          <w:sz w:val="16"/>
          <w:szCs w:val="16"/>
        </w:rPr>
      </w:pPr>
    </w:p>
    <w:p w:rsidR="00BD2E25" w:rsidP="00BD2E25">
      <w:pPr>
        <w:pStyle w:val="NoSpacing"/>
        <w:jc w:val="both"/>
        <w:rPr>
          <w:rFonts w:ascii="Times New Roman" w:hAnsi="Times New Roman" w:cs="Times New Roman"/>
          <w:sz w:val="16"/>
          <w:szCs w:val="16"/>
        </w:rPr>
      </w:pPr>
    </w:p>
    <w:p w:rsidR="00BD2E25" w:rsidP="00BD2E25">
      <w:pPr>
        <w:pStyle w:val="NoSpacing"/>
        <w:jc w:val="both"/>
        <w:rPr>
          <w:rFonts w:ascii="Times New Roman" w:hAnsi="Times New Roman" w:cs="Times New Roman"/>
          <w:sz w:val="16"/>
          <w:szCs w:val="16"/>
        </w:rPr>
      </w:pPr>
    </w:p>
    <w:p w:rsidR="00BD2E25" w:rsidP="00BD2E25">
      <w:pPr>
        <w:pStyle w:val="NoSpacing"/>
        <w:jc w:val="both"/>
        <w:rPr>
          <w:rFonts w:ascii="Times New Roman" w:hAnsi="Times New Roman" w:cs="Times New Roman"/>
          <w:sz w:val="16"/>
          <w:szCs w:val="16"/>
        </w:rPr>
      </w:pPr>
    </w:p>
    <w:p w:rsidR="00BD2E25" w:rsidP="00BD2E25">
      <w:pPr>
        <w:pStyle w:val="NoSpacing"/>
        <w:jc w:val="both"/>
        <w:rPr>
          <w:rFonts w:ascii="Times New Roman" w:hAnsi="Times New Roman" w:cs="Times New Roman"/>
          <w:sz w:val="16"/>
          <w:szCs w:val="16"/>
        </w:rPr>
      </w:pPr>
    </w:p>
    <w:p w:rsidR="00BD2E25" w:rsidP="00BD2E25">
      <w:pPr>
        <w:pStyle w:val="NoSpacing"/>
        <w:jc w:val="both"/>
        <w:rPr>
          <w:rFonts w:ascii="Times New Roman" w:hAnsi="Times New Roman" w:cs="Times New Roman"/>
          <w:sz w:val="16"/>
          <w:szCs w:val="16"/>
        </w:rPr>
      </w:pPr>
    </w:p>
    <w:p w:rsidR="00BD2E25" w:rsidP="00BD2E25">
      <w:pPr>
        <w:pStyle w:val="NoSpacing"/>
        <w:jc w:val="both"/>
        <w:rPr>
          <w:rFonts w:ascii="Times New Roman" w:hAnsi="Times New Roman" w:cs="Times New Roman"/>
          <w:sz w:val="16"/>
          <w:szCs w:val="16"/>
        </w:rPr>
      </w:pPr>
    </w:p>
    <w:p w:rsidR="00BD2E25" w:rsidP="00BD2E25">
      <w:pPr>
        <w:pStyle w:val="NoSpacing"/>
        <w:jc w:val="both"/>
        <w:rPr>
          <w:rFonts w:ascii="Times New Roman" w:hAnsi="Times New Roman" w:cs="Times New Roman"/>
          <w:sz w:val="16"/>
          <w:szCs w:val="16"/>
        </w:rPr>
      </w:pPr>
    </w:p>
    <w:p w:rsidR="00BD2E25" w:rsidP="00BD2E25">
      <w:pPr>
        <w:pStyle w:val="NoSpacing"/>
        <w:jc w:val="both"/>
        <w:rPr>
          <w:rFonts w:ascii="Times New Roman" w:hAnsi="Times New Roman" w:cs="Times New Roman"/>
          <w:sz w:val="16"/>
          <w:szCs w:val="16"/>
        </w:rPr>
      </w:pPr>
    </w:p>
    <w:p w:rsidR="00BD2E25" w:rsidP="00BD2E25">
      <w:pPr>
        <w:pStyle w:val="NoSpacing"/>
        <w:jc w:val="both"/>
        <w:rPr>
          <w:rFonts w:ascii="Times New Roman" w:hAnsi="Times New Roman" w:cs="Times New Roman"/>
          <w:sz w:val="16"/>
          <w:szCs w:val="16"/>
        </w:rPr>
      </w:pPr>
    </w:p>
    <w:p w:rsidR="00BD2E25" w:rsidP="00BD2E25">
      <w:pPr>
        <w:pStyle w:val="NoSpacing"/>
        <w:jc w:val="both"/>
        <w:rPr>
          <w:rFonts w:ascii="Times New Roman" w:hAnsi="Times New Roman" w:cs="Times New Roman"/>
          <w:sz w:val="16"/>
          <w:szCs w:val="16"/>
        </w:rPr>
      </w:pPr>
    </w:p>
    <w:p w:rsidR="00BD2E25" w:rsidP="00BD2E25">
      <w:pPr>
        <w:pStyle w:val="NoSpacing"/>
        <w:jc w:val="both"/>
        <w:rPr>
          <w:rFonts w:ascii="Times New Roman" w:hAnsi="Times New Roman" w:cs="Times New Roman"/>
          <w:sz w:val="16"/>
          <w:szCs w:val="16"/>
        </w:rPr>
      </w:pPr>
    </w:p>
    <w:p w:rsidR="00BD2E25" w:rsidP="00BD2E25">
      <w:pPr>
        <w:pStyle w:val="NoSpacing"/>
        <w:jc w:val="both"/>
        <w:rPr>
          <w:rFonts w:ascii="Times New Roman" w:hAnsi="Times New Roman" w:cs="Times New Roman"/>
          <w:sz w:val="16"/>
          <w:szCs w:val="16"/>
        </w:rPr>
      </w:pPr>
    </w:p>
    <w:p w:rsidR="00BD2E25" w:rsidP="00BD2E25">
      <w:pPr>
        <w:pStyle w:val="NoSpacing"/>
        <w:jc w:val="both"/>
        <w:rPr>
          <w:rFonts w:ascii="Times New Roman" w:hAnsi="Times New Roman" w:cs="Times New Roman"/>
          <w:sz w:val="16"/>
          <w:szCs w:val="16"/>
        </w:rPr>
      </w:pPr>
    </w:p>
    <w:p w:rsidR="00BD2E25" w:rsidP="00BD2E25">
      <w:pPr>
        <w:pStyle w:val="NoSpacing"/>
        <w:jc w:val="both"/>
        <w:rPr>
          <w:rFonts w:ascii="Times New Roman" w:hAnsi="Times New Roman" w:cs="Times New Roman"/>
          <w:sz w:val="16"/>
          <w:szCs w:val="16"/>
        </w:rPr>
      </w:pPr>
    </w:p>
    <w:p w:rsidR="00BD2E25" w:rsidP="00BD2E25">
      <w:pPr>
        <w:pStyle w:val="NoSpacing"/>
        <w:jc w:val="both"/>
        <w:rPr>
          <w:rFonts w:ascii="Times New Roman" w:hAnsi="Times New Roman" w:cs="Times New Roman"/>
          <w:sz w:val="16"/>
          <w:szCs w:val="16"/>
        </w:rPr>
      </w:pPr>
    </w:p>
    <w:p w:rsidR="00BD2E25" w:rsidP="00BD2E25">
      <w:pPr>
        <w:pStyle w:val="NoSpacing"/>
        <w:jc w:val="both"/>
        <w:rPr>
          <w:rFonts w:ascii="Times New Roman" w:hAnsi="Times New Roman" w:cs="Times New Roman"/>
          <w:sz w:val="16"/>
          <w:szCs w:val="16"/>
        </w:rPr>
      </w:pPr>
    </w:p>
    <w:p w:rsidR="00BD2E25" w:rsidP="00BD2E25">
      <w:pPr>
        <w:pStyle w:val="NoSpacing"/>
        <w:jc w:val="both"/>
        <w:rPr>
          <w:rFonts w:ascii="Times New Roman" w:hAnsi="Times New Roman" w:cs="Times New Roman"/>
          <w:sz w:val="16"/>
          <w:szCs w:val="16"/>
        </w:rPr>
      </w:pPr>
    </w:p>
    <w:p w:rsidR="00BD2E25" w:rsidP="00BD2E25">
      <w:pPr>
        <w:pStyle w:val="NoSpacing"/>
        <w:jc w:val="both"/>
        <w:rPr>
          <w:rFonts w:ascii="Times New Roman" w:hAnsi="Times New Roman" w:cs="Times New Roman"/>
          <w:sz w:val="16"/>
          <w:szCs w:val="16"/>
        </w:rPr>
      </w:pPr>
    </w:p>
    <w:p w:rsidR="00BD2E25" w:rsidP="00BD2E25">
      <w:pPr>
        <w:pStyle w:val="NoSpacing"/>
        <w:jc w:val="both"/>
        <w:rPr>
          <w:rFonts w:ascii="Times New Roman" w:hAnsi="Times New Roman" w:cs="Times New Roman"/>
          <w:sz w:val="16"/>
          <w:szCs w:val="16"/>
        </w:rPr>
      </w:pPr>
    </w:p>
    <w:p w:rsidR="00BD2E25" w:rsidP="00BD2E25">
      <w:pPr>
        <w:pStyle w:val="NoSpacing"/>
        <w:jc w:val="both"/>
        <w:rPr>
          <w:rFonts w:ascii="Times New Roman" w:hAnsi="Times New Roman" w:cs="Times New Roman"/>
          <w:sz w:val="16"/>
          <w:szCs w:val="16"/>
        </w:rPr>
      </w:pPr>
    </w:p>
    <w:p w:rsidR="00BD2E25" w:rsidP="00BD2E25">
      <w:pPr>
        <w:pStyle w:val="NoSpacing"/>
        <w:jc w:val="both"/>
        <w:rPr>
          <w:rFonts w:ascii="Times New Roman" w:hAnsi="Times New Roman" w:cs="Times New Roman"/>
          <w:sz w:val="16"/>
          <w:szCs w:val="16"/>
        </w:rPr>
      </w:pPr>
    </w:p>
    <w:p w:rsidR="00BD2E25" w:rsidP="00BD2E25">
      <w:pPr>
        <w:pStyle w:val="NoSpacing"/>
        <w:jc w:val="both"/>
        <w:rPr>
          <w:rFonts w:ascii="Times New Roman" w:hAnsi="Times New Roman" w:cs="Times New Roman"/>
          <w:sz w:val="16"/>
          <w:szCs w:val="16"/>
        </w:rPr>
      </w:pPr>
    </w:p>
    <w:p w:rsidR="00BD2E25" w:rsidP="00BD2E25">
      <w:pPr>
        <w:pStyle w:val="NoSpacing"/>
        <w:jc w:val="both"/>
        <w:rPr>
          <w:rFonts w:ascii="Times New Roman" w:hAnsi="Times New Roman" w:cs="Times New Roman"/>
          <w:sz w:val="16"/>
          <w:szCs w:val="16"/>
        </w:rPr>
      </w:pPr>
    </w:p>
    <w:p w:rsidR="00BD2E25" w:rsidP="00BD2E25">
      <w:pPr>
        <w:pStyle w:val="NoSpacing"/>
        <w:jc w:val="both"/>
        <w:rPr>
          <w:rFonts w:ascii="Times New Roman" w:hAnsi="Times New Roman" w:cs="Times New Roman"/>
          <w:sz w:val="16"/>
          <w:szCs w:val="16"/>
        </w:rPr>
      </w:pPr>
    </w:p>
    <w:p w:rsidR="00BD2E25" w:rsidP="00BD2E25">
      <w:pPr>
        <w:pStyle w:val="NoSpacing"/>
        <w:jc w:val="both"/>
        <w:rPr>
          <w:rFonts w:ascii="Times New Roman" w:hAnsi="Times New Roman" w:cs="Times New Roman"/>
          <w:sz w:val="16"/>
          <w:szCs w:val="16"/>
        </w:rPr>
      </w:pPr>
    </w:p>
    <w:p w:rsidR="00BD2E25" w:rsidP="00BD2E25">
      <w:pPr>
        <w:pStyle w:val="NoSpacing"/>
        <w:jc w:val="both"/>
        <w:rPr>
          <w:rFonts w:ascii="Times New Roman" w:hAnsi="Times New Roman" w:cs="Times New Roman"/>
          <w:sz w:val="16"/>
          <w:szCs w:val="16"/>
        </w:rPr>
      </w:pPr>
    </w:p>
    <w:p w:rsidR="00BD2E25" w:rsidP="00BD2E25">
      <w:pPr>
        <w:pStyle w:val="NoSpacing"/>
        <w:jc w:val="both"/>
        <w:rPr>
          <w:rFonts w:ascii="Times New Roman" w:hAnsi="Times New Roman" w:cs="Times New Roman"/>
          <w:sz w:val="16"/>
          <w:szCs w:val="16"/>
        </w:rPr>
      </w:pPr>
    </w:p>
    <w:p w:rsidR="00BD2E25" w:rsidP="00BD2E25">
      <w:pPr>
        <w:pStyle w:val="NoSpacing"/>
        <w:jc w:val="both"/>
        <w:rPr>
          <w:rFonts w:ascii="Times New Roman" w:hAnsi="Times New Roman" w:cs="Times New Roman"/>
          <w:sz w:val="16"/>
          <w:szCs w:val="16"/>
        </w:rPr>
      </w:pPr>
    </w:p>
    <w:p w:rsidR="00BD2E25" w:rsidP="00BD2E25">
      <w:pPr>
        <w:pStyle w:val="NoSpacing"/>
        <w:jc w:val="both"/>
        <w:rPr>
          <w:rFonts w:ascii="Times New Roman" w:hAnsi="Times New Roman" w:cs="Times New Roman"/>
          <w:sz w:val="16"/>
          <w:szCs w:val="16"/>
        </w:rPr>
      </w:pPr>
    </w:p>
    <w:p w:rsidR="00BD2E25" w:rsidP="00BD2E25">
      <w:pPr>
        <w:pStyle w:val="NoSpacing"/>
        <w:jc w:val="both"/>
        <w:rPr>
          <w:rFonts w:ascii="Times New Roman" w:hAnsi="Times New Roman" w:cs="Times New Roman"/>
          <w:sz w:val="16"/>
          <w:szCs w:val="16"/>
        </w:rPr>
      </w:pPr>
    </w:p>
    <w:p w:rsidR="00BD2E25" w:rsidP="00BD2E25">
      <w:pPr>
        <w:pStyle w:val="NoSpacing"/>
        <w:jc w:val="both"/>
        <w:rPr>
          <w:rFonts w:ascii="Times New Roman" w:hAnsi="Times New Roman" w:cs="Times New Roman"/>
          <w:sz w:val="16"/>
          <w:szCs w:val="16"/>
        </w:rPr>
      </w:pPr>
    </w:p>
    <w:p w:rsidR="00BD2E25" w:rsidP="00BD2E25">
      <w:pPr>
        <w:pStyle w:val="NoSpacing"/>
        <w:jc w:val="both"/>
        <w:rPr>
          <w:rFonts w:ascii="Times New Roman" w:hAnsi="Times New Roman" w:cs="Times New Roman"/>
          <w:sz w:val="16"/>
          <w:szCs w:val="16"/>
        </w:rPr>
      </w:pPr>
    </w:p>
    <w:p w:rsidR="00BD2E25" w:rsidP="00BD2E25">
      <w:pPr>
        <w:pStyle w:val="NoSpacing"/>
        <w:jc w:val="both"/>
        <w:rPr>
          <w:rFonts w:ascii="Times New Roman" w:hAnsi="Times New Roman" w:cs="Times New Roman"/>
          <w:sz w:val="16"/>
          <w:szCs w:val="16"/>
        </w:rPr>
      </w:pPr>
    </w:p>
    <w:p w:rsidR="00BD2E25" w:rsidP="00BD2E25">
      <w:pPr>
        <w:pStyle w:val="NoSpacing"/>
        <w:jc w:val="both"/>
        <w:rPr>
          <w:rFonts w:ascii="Times New Roman" w:hAnsi="Times New Roman" w:cs="Times New Roman"/>
          <w:sz w:val="16"/>
          <w:szCs w:val="16"/>
        </w:rPr>
      </w:pPr>
    </w:p>
    <w:p w:rsidR="006C5F31" w:rsidP="00BD2E25">
      <w:pPr>
        <w:pStyle w:val="NoSpacing"/>
        <w:jc w:val="both"/>
      </w:pPr>
      <w:r>
        <w:rPr>
          <w:rFonts w:ascii="Times New Roman" w:hAnsi="Times New Roman" w:cs="Times New Roman"/>
          <w:sz w:val="16"/>
          <w:szCs w:val="16"/>
        </w:rPr>
        <w:t xml:space="preserve">Подлинник резолютивной </w:t>
      </w:r>
      <w:r>
        <w:rPr>
          <w:rFonts w:ascii="Times New Roman" w:hAnsi="Times New Roman" w:cs="Times New Roman"/>
          <w:sz w:val="16"/>
          <w:szCs w:val="16"/>
        </w:rPr>
        <w:t>части  решения</w:t>
      </w:r>
      <w:r>
        <w:rPr>
          <w:rFonts w:ascii="Times New Roman" w:hAnsi="Times New Roman" w:cs="Times New Roman"/>
          <w:sz w:val="16"/>
          <w:szCs w:val="16"/>
        </w:rPr>
        <w:t xml:space="preserve"> суда  подшит  в  материалах гражданского дела  № 2-1833-1703/2026 судебного  участка  № 3 Когалымского  судебного  района Ханты-Мансийского  автономного округа –Югры </w:t>
      </w:r>
    </w:p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431A"/>
    <w:rsid w:val="00316A01"/>
    <w:rsid w:val="0039431A"/>
    <w:rsid w:val="00635CE8"/>
    <w:rsid w:val="006C5F31"/>
    <w:rsid w:val="00BD2E2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87618883-36D0-4E3C-896E-F163B2B08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2E25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D2E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NoSpacing">
    <w:name w:val="No Spacing"/>
    <w:uiPriority w:val="1"/>
    <w:qFormat/>
    <w:rsid w:val="00BD2E25"/>
    <w:pPr>
      <w:spacing w:after="0" w:line="240" w:lineRule="auto"/>
    </w:pPr>
    <w:rPr>
      <w:rFonts w:eastAsiaTheme="minorEastAsia"/>
      <w:lang w:eastAsia="ru-RU"/>
    </w:rPr>
  </w:style>
  <w:style w:type="paragraph" w:customStyle="1" w:styleId="s1">
    <w:name w:val="s_1"/>
    <w:basedOn w:val="Normal"/>
    <w:uiPriority w:val="99"/>
    <w:semiHidden/>
    <w:rsid w:val="00BD2E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"/>
    <w:uiPriority w:val="99"/>
    <w:semiHidden/>
    <w:unhideWhenUsed/>
    <w:rsid w:val="00BD2E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BD2E2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